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December 31, 2025</w:t>
      </w:r>
    </w:p>
    <w:p>
      <w:pPr>
        <w:pStyle w:val="Body A"/>
        <w:rPr>
          <w:b w:val="1"/>
          <w:bCs w:val="1"/>
          <w:sz w:val="28"/>
          <w:szCs w:val="28"/>
        </w:rPr>
      </w:pPr>
    </w:p>
    <w:p>
      <w:pPr>
        <w:pStyle w:val="Body A"/>
        <w:rPr>
          <w:b w:val="1"/>
          <w:bCs w:val="1"/>
          <w:sz w:val="28"/>
          <w:szCs w:val="28"/>
        </w:rPr>
      </w:pPr>
    </w:p>
    <w:p>
      <w:pPr>
        <w:pStyle w:val="Body A"/>
        <w:pBdr>
          <w:top w:val="single" w:color="000000" w:sz="18" w:space="0" w:shadow="0" w:frame="0"/>
          <w:left w:val="single" w:color="000000" w:sz="18" w:space="0" w:shadow="0" w:frame="0"/>
          <w:bottom w:val="single" w:color="000000" w:sz="18" w:space="0" w:shadow="0" w:frame="0"/>
          <w:right w:val="single" w:color="000000" w:sz="18" w:space="0" w:shadow="0" w:frame="0"/>
        </w:pBdr>
        <w:spacing w:line="240" w:lineRule="auto"/>
        <w:jc w:val="center"/>
        <w:rPr>
          <w:b w:val="1"/>
          <w:bCs w:val="1"/>
          <w:sz w:val="32"/>
          <w:szCs w:val="32"/>
        </w:rPr>
      </w:pPr>
      <w:bookmarkStart w:name="_Hlk213315065" w:id="0"/>
      <w:r>
        <w:rPr>
          <w:b w:val="1"/>
          <w:bCs w:val="1"/>
          <w:sz w:val="32"/>
          <w:szCs w:val="32"/>
          <w:rtl w:val="0"/>
          <w:lang w:val="en-US"/>
        </w:rPr>
        <w:t>Emergency</w:t>
      </w:r>
    </w:p>
    <w:p>
      <w:pPr>
        <w:pStyle w:val="Body A"/>
        <w:pBdr>
          <w:top w:val="single" w:color="000000" w:sz="18" w:space="0" w:shadow="0" w:frame="0"/>
          <w:left w:val="single" w:color="000000" w:sz="18" w:space="0" w:shadow="0" w:frame="0"/>
          <w:bottom w:val="single" w:color="000000" w:sz="18" w:space="0" w:shadow="0" w:frame="0"/>
          <w:right w:val="single" w:color="000000" w:sz="18" w:space="0" w:shadow="0" w:frame="0"/>
        </w:pBdr>
        <w:spacing w:line="240" w:lineRule="auto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 xml:space="preserve"> Callouts for January 1, 2025 </w:t>
      </w:r>
      <w:r>
        <w:rPr>
          <w:b w:val="1"/>
          <w:bCs w:val="1"/>
          <w:sz w:val="32"/>
          <w:szCs w:val="32"/>
          <w:rtl w:val="0"/>
          <w:lang w:val="en-US"/>
        </w:rPr>
        <w:t>–</w:t>
      </w:r>
      <w:r>
        <w:rPr>
          <w:b w:val="1"/>
          <w:bCs w:val="1"/>
          <w:sz w:val="32"/>
          <w:szCs w:val="32"/>
          <w:rtl w:val="0"/>
          <w:lang w:val="fr-FR"/>
        </w:rPr>
        <w:t>Dec 31, 2025</w:t>
      </w:r>
    </w:p>
    <w:p>
      <w:pPr>
        <w:pStyle w:val="Body A"/>
        <w:pBdr>
          <w:top w:val="single" w:color="000000" w:sz="18" w:space="0" w:shadow="0" w:frame="0"/>
          <w:left w:val="single" w:color="000000" w:sz="18" w:space="0" w:shadow="0" w:frame="0"/>
          <w:bottom w:val="single" w:color="000000" w:sz="18" w:space="0" w:shadow="0" w:frame="0"/>
          <w:right w:val="single" w:color="000000" w:sz="18" w:space="0" w:shadow="0" w:frame="0"/>
        </w:pBdr>
        <w:spacing w:line="240" w:lineRule="auto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 xml:space="preserve">TOTAL CALLS TO DATE: </w:t>
      </w:r>
      <w:r>
        <w:rPr>
          <w:b w:val="1"/>
          <w:bCs w:val="1"/>
          <w:sz w:val="32"/>
          <w:szCs w:val="32"/>
          <w:rtl w:val="0"/>
          <w:lang w:val="en-US"/>
        </w:rPr>
        <w:t>456</w:t>
      </w:r>
    </w:p>
    <w:p>
      <w:pPr>
        <w:pStyle w:val="Body A"/>
        <w:pBdr>
          <w:top w:val="single" w:color="000000" w:sz="18" w:space="0" w:shadow="0" w:frame="0"/>
          <w:left w:val="single" w:color="000000" w:sz="18" w:space="0" w:shadow="0" w:frame="0"/>
          <w:bottom w:val="single" w:color="000000" w:sz="18" w:space="0" w:shadow="0" w:frame="0"/>
          <w:right w:val="single" w:color="000000" w:sz="18" w:space="0" w:shadow="0" w:frame="0"/>
        </w:pBdr>
        <w:spacing w:line="240" w:lineRule="auto"/>
        <w:jc w:val="center"/>
        <w:rPr>
          <w:b w:val="1"/>
          <w:bCs w:val="1"/>
        </w:rPr>
      </w:pPr>
    </w:p>
    <w:tbl>
      <w:tblPr>
        <w:tblW w:w="9349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1709"/>
        <w:gridCol w:w="594"/>
        <w:gridCol w:w="587"/>
        <w:gridCol w:w="708"/>
        <w:gridCol w:w="625"/>
        <w:gridCol w:w="678"/>
        <w:gridCol w:w="610"/>
        <w:gridCol w:w="555"/>
        <w:gridCol w:w="667"/>
        <w:gridCol w:w="588"/>
        <w:gridCol w:w="625"/>
        <w:gridCol w:w="796"/>
        <w:gridCol w:w="607"/>
      </w:tblGrid>
      <w:tr>
        <w:tblPrEx>
          <w:shd w:val="clear" w:color="auto" w:fill="cad1d7"/>
        </w:tblPrEx>
        <w:trPr>
          <w:trHeight w:val="587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Incidents by Type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JAN</w:t>
            </w:r>
          </w:p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FEB</w:t>
            </w:r>
          </w:p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MAR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APR</w:t>
            </w:r>
          </w:p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MAY</w:t>
            </w:r>
          </w:p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JUN</w:t>
            </w:r>
          </w:p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JUL</w:t>
            </w:r>
          </w:p>
        </w:tc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AUG</w:t>
            </w:r>
          </w:p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SEP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OCT</w:t>
            </w:r>
          </w:p>
        </w:tc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NOV</w:t>
            </w:r>
          </w:p>
        </w:tc>
        <w:tc>
          <w:tcPr>
            <w:tcW w:type="dxa" w:w="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DEC</w:t>
            </w:r>
          </w:p>
        </w:tc>
      </w:tr>
      <w:tr>
        <w:tblPrEx>
          <w:shd w:val="clear" w:color="auto" w:fill="cad1d7"/>
        </w:tblPrEx>
        <w:trPr>
          <w:trHeight w:val="567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right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Burn Compliant 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1</w:t>
            </w:r>
          </w:p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1</w:t>
            </w:r>
          </w:p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4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4</w:t>
            </w:r>
          </w:p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7</w:t>
            </w:r>
          </w:p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11</w:t>
            </w:r>
          </w:p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12</w:t>
            </w:r>
          </w:p>
        </w:tc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8</w:t>
            </w:r>
          </w:p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3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3</w:t>
            </w:r>
          </w:p>
        </w:tc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2</w:t>
            </w:r>
          </w:p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right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Hydro Fire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1</w:t>
            </w:r>
          </w:p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2</w:t>
            </w:r>
          </w:p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right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Explosives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right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Chimney Fire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1</w:t>
            </w:r>
          </w:p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2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right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Boat Fire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right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Vehicle Fire 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1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1</w:t>
            </w:r>
          </w:p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right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Airplane Fire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right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HazMat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right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Brush Fire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1</w:t>
            </w:r>
          </w:p>
        </w:tc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right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Structure Fire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567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right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Miscellaneous Fire*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1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1</w:t>
            </w:r>
          </w:p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1</w:t>
            </w:r>
          </w:p>
        </w:tc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1</w:t>
            </w:r>
          </w:p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right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Investigation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2</w:t>
            </w:r>
          </w:p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3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  <w:tc>
          <w:tcPr>
            <w:tcW w:type="dxa" w:w="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right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Alarm(s)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4</w:t>
            </w:r>
          </w:p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3</w:t>
            </w:r>
          </w:p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4</w:t>
            </w:r>
          </w:p>
        </w:tc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3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  <w:tc>
          <w:tcPr>
            <w:tcW w:type="dxa" w:w="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3</w:t>
            </w:r>
          </w:p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right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Public Assist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4</w:t>
            </w:r>
          </w:p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3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3</w:t>
            </w:r>
          </w:p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4</w:t>
            </w:r>
          </w:p>
        </w:tc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  <w:tc>
          <w:tcPr>
            <w:tcW w:type="dxa" w:w="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5</w:t>
            </w:r>
          </w:p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right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RCMP Assist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right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Gas Spills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right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Wires Down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2</w:t>
            </w:r>
          </w:p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3</w:t>
            </w:r>
          </w:p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  <w:tc>
          <w:tcPr>
            <w:tcW w:type="dxa" w:w="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</w:tr>
      <w:tr>
        <w:tblPrEx>
          <w:shd w:val="clear" w:color="auto" w:fill="cad1d7"/>
        </w:tblPrEx>
        <w:trPr>
          <w:trHeight w:val="567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right"/>
            </w:pPr>
            <w:r>
              <w:rPr>
                <w:b w:val="1"/>
                <w:bCs w:val="1"/>
                <w:outline w:val="0"/>
                <w:color w:val="a02b93"/>
                <w:u w:color="a02b93"/>
                <w:shd w:val="nil" w:color="auto" w:fill="auto"/>
                <w:rtl w:val="0"/>
                <w:lang w:val="en-US"/>
                <w14:textFill>
                  <w14:solidFill>
                    <w14:srgbClr w14:val="A02B93"/>
                  </w14:solidFill>
                </w14:textFill>
              </w:rPr>
              <w:t xml:space="preserve">Motor Vehicle Incident 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a02b93"/>
                <w:u w:color="a02b93"/>
                <w:shd w:val="nil" w:color="auto" w:fill="auto"/>
                <w:rtl w:val="0"/>
                <w:lang w:val="en-US"/>
                <w14:textFill>
                  <w14:solidFill>
                    <w14:srgbClr w14:val="A02B93"/>
                  </w14:solidFill>
                </w14:textFill>
              </w:rPr>
              <w:t>2</w:t>
            </w:r>
          </w:p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a02b93"/>
                <w:u w:color="a02b93"/>
                <w:shd w:val="nil" w:color="auto" w:fill="auto"/>
                <w:rtl w:val="0"/>
                <w:lang w:val="en-US"/>
                <w14:textFill>
                  <w14:solidFill>
                    <w14:srgbClr w14:val="A02B93"/>
                  </w14:solidFill>
                </w14:textFill>
              </w:rPr>
              <w:t>1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a02b93"/>
                <w:u w:color="a02b93"/>
                <w:shd w:val="nil" w:color="auto" w:fill="auto"/>
                <w:rtl w:val="0"/>
                <w:lang w:val="en-US"/>
                <w14:textFill>
                  <w14:solidFill>
                    <w14:srgbClr w14:val="A02B93"/>
                  </w14:solidFill>
                </w14:textFill>
              </w:rPr>
              <w:t>3</w:t>
            </w:r>
          </w:p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a02b93"/>
                <w:u w:color="a02b93"/>
                <w:shd w:val="nil" w:color="auto" w:fill="auto"/>
                <w:rtl w:val="0"/>
                <w:lang w:val="en-US"/>
                <w14:textFill>
                  <w14:solidFill>
                    <w14:srgbClr w14:val="A02B93"/>
                  </w14:solidFill>
                </w14:textFill>
              </w:rPr>
              <w:t>1</w:t>
            </w:r>
          </w:p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7030a0"/>
                <w:u w:color="7030a0"/>
                <w:shd w:val="nil" w:color="auto" w:fill="auto"/>
                <w:rtl w:val="0"/>
                <w:lang w:val="en-US"/>
                <w14:textFill>
                  <w14:solidFill>
                    <w14:srgbClr w14:val="7030A0"/>
                  </w14:solidFill>
                </w14:textFill>
              </w:rPr>
              <w:t>2</w:t>
            </w:r>
          </w:p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7030a0"/>
                <w:u w:color="7030a0"/>
                <w:shd w:val="nil" w:color="auto" w:fill="auto"/>
                <w:rtl w:val="0"/>
                <w:lang w:val="en-US"/>
                <w14:textFill>
                  <w14:solidFill>
                    <w14:srgbClr w14:val="7030A0"/>
                  </w14:solidFill>
                </w14:textFill>
              </w:rPr>
              <w:t>2</w:t>
            </w:r>
          </w:p>
        </w:tc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7030a0"/>
                <w:u w:color="7030a0"/>
                <w:shd w:val="nil" w:color="auto" w:fill="auto"/>
                <w:rtl w:val="0"/>
                <w:lang w:val="en-US"/>
                <w14:textFill>
                  <w14:solidFill>
                    <w14:srgbClr w14:val="7030A0"/>
                  </w14:solidFill>
                </w14:textFill>
              </w:rPr>
              <w:t>2</w:t>
            </w:r>
          </w:p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7030a0"/>
                <w:u w:color="7030a0"/>
                <w:shd w:val="nil" w:color="auto" w:fill="auto"/>
                <w:rtl w:val="0"/>
                <w:lang w:val="en-US"/>
                <w14:textFill>
                  <w14:solidFill>
                    <w14:srgbClr w14:val="7030A0"/>
                  </w14:solidFill>
                </w14:textFill>
              </w:rPr>
              <w:t>3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7030a0"/>
                <w:u w:color="7030a0"/>
                <w:shd w:val="nil" w:color="auto" w:fill="auto"/>
                <w:rtl w:val="0"/>
                <w:lang w:val="en-US"/>
                <w14:textFill>
                  <w14:solidFill>
                    <w14:srgbClr w14:val="7030A0"/>
                  </w14:solidFill>
                </w14:textFill>
              </w:rPr>
              <w:t>2</w:t>
            </w:r>
          </w:p>
        </w:tc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a02b93"/>
                <w:u w:color="a02b93"/>
                <w:shd w:val="nil" w:color="auto" w:fill="auto"/>
                <w:rtl w:val="0"/>
                <w:lang w:val="en-US"/>
                <w14:textFill>
                  <w14:solidFill>
                    <w14:srgbClr w14:val="A02B93"/>
                  </w14:solidFill>
                </w14:textFill>
              </w:rPr>
              <w:t>1</w:t>
            </w:r>
          </w:p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right"/>
            </w:pPr>
            <w:r>
              <w:rPr>
                <w:b w:val="1"/>
                <w:bCs w:val="1"/>
                <w:outline w:val="0"/>
                <w:color w:val="a02b93"/>
                <w:u w:color="a02b93"/>
                <w:shd w:val="nil" w:color="auto" w:fill="auto"/>
                <w:rtl w:val="0"/>
                <w:lang w:val="en-US"/>
                <w14:textFill>
                  <w14:solidFill>
                    <w14:srgbClr w14:val="A02B93"/>
                  </w14:solidFill>
                </w14:textFill>
              </w:rPr>
              <w:t>Rescue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a02b93"/>
                <w:u w:color="a02b93"/>
                <w:shd w:val="nil" w:color="auto" w:fill="auto"/>
                <w:rtl w:val="0"/>
                <w:lang w:val="en-US"/>
                <w14:textFill>
                  <w14:solidFill>
                    <w14:srgbClr w14:val="A02B93"/>
                  </w14:solidFill>
                </w14:textFill>
              </w:rPr>
              <w:t>1</w:t>
            </w:r>
          </w:p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a02b93"/>
                <w:u w:color="a02b93"/>
                <w:shd w:val="nil" w:color="auto" w:fill="auto"/>
                <w:rtl w:val="0"/>
                <w:lang w:val="en-US"/>
                <w14:textFill>
                  <w14:solidFill>
                    <w14:srgbClr w14:val="A02B93"/>
                  </w14:solidFill>
                </w14:textFill>
              </w:rPr>
              <w:t>1</w:t>
            </w:r>
          </w:p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7030a0"/>
                <w:u w:color="7030a0"/>
                <w:shd w:val="nil" w:color="auto" w:fill="auto"/>
                <w:rtl w:val="0"/>
                <w:lang w:val="en-US"/>
                <w14:textFill>
                  <w14:solidFill>
                    <w14:srgbClr w14:val="7030A0"/>
                  </w14:solidFill>
                </w14:textFill>
              </w:rPr>
              <w:t>1</w:t>
            </w:r>
          </w:p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7030a0"/>
                <w:u w:color="7030a0"/>
                <w:shd w:val="nil" w:color="auto" w:fill="auto"/>
                <w:rtl w:val="0"/>
                <w:lang w:val="en-US"/>
                <w14:textFill>
                  <w14:solidFill>
                    <w14:srgbClr w14:val="7030A0"/>
                  </w14:solidFill>
                </w14:textFill>
              </w:rPr>
              <w:t>1</w:t>
            </w:r>
          </w:p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7030a0"/>
                <w:u w:color="7030a0"/>
                <w:shd w:val="nil" w:color="auto" w:fill="auto"/>
                <w:rtl w:val="0"/>
                <w:lang w:val="en-US"/>
                <w14:textFill>
                  <w14:solidFill>
                    <w14:srgbClr w14:val="7030A0"/>
                  </w14:solidFill>
                </w14:textFill>
              </w:rPr>
              <w:t>1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567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right"/>
            </w:pPr>
            <w:r>
              <w:rPr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Medical/First Responder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16</w:t>
            </w:r>
          </w:p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21</w:t>
            </w:r>
          </w:p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18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15</w:t>
            </w:r>
          </w:p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22</w:t>
            </w:r>
          </w:p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35</w:t>
            </w:r>
          </w:p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30</w:t>
            </w:r>
          </w:p>
        </w:tc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18</w:t>
            </w:r>
          </w:p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16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31</w:t>
            </w:r>
          </w:p>
        </w:tc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30</w:t>
            </w:r>
          </w:p>
        </w:tc>
        <w:tc>
          <w:tcPr>
            <w:tcW w:type="dxa" w:w="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18</w:t>
            </w:r>
          </w:p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right"/>
            </w:pPr>
            <w:r>
              <w:rPr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Lift Assist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6</w:t>
            </w:r>
          </w:p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f0"/>
                <w:kern w:val="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10</w:t>
            </w:r>
          </w:p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2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3</w:t>
            </w:r>
          </w:p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2</w:t>
            </w:r>
          </w:p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1</w:t>
            </w:r>
          </w:p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1</w:t>
            </w:r>
          </w:p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1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567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right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Total Calls: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27</w:t>
            </w:r>
          </w:p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44</w:t>
            </w:r>
          </w:p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32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33</w:t>
            </w:r>
          </w:p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37</w:t>
            </w:r>
          </w:p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56</w:t>
            </w:r>
          </w:p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56</w:t>
            </w:r>
          </w:p>
        </w:tc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40</w:t>
            </w:r>
          </w:p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32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39</w:t>
            </w:r>
          </w:p>
        </w:tc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34</w:t>
            </w:r>
          </w:p>
        </w:tc>
        <w:tc>
          <w:tcPr>
            <w:tcW w:type="dxa" w:w="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33</w:t>
            </w:r>
          </w:p>
        </w:tc>
      </w:tr>
    </w:tbl>
    <w:p>
      <w:pPr>
        <w:pStyle w:val="Body A"/>
        <w:widowControl w:val="0"/>
        <w:spacing w:line="240" w:lineRule="auto"/>
        <w:ind w:left="108" w:hanging="108"/>
        <w:jc w:val="center"/>
        <w:rPr>
          <w:b w:val="1"/>
          <w:bCs w:val="1"/>
        </w:rPr>
      </w:pPr>
    </w:p>
    <w:p>
      <w:pPr>
        <w:pStyle w:val="Body A"/>
        <w:widowControl w:val="0"/>
        <w:spacing w:line="240" w:lineRule="auto"/>
        <w:jc w:val="center"/>
        <w:rPr>
          <w:b w:val="1"/>
          <w:bCs w:val="1"/>
        </w:rPr>
      </w:pPr>
    </w:p>
    <w:p>
      <w:pPr>
        <w:pStyle w:val="Body A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*Miscellaneous fire are fires of known causes that cannot properly be classified into the eight standard causes of fire. </w:t>
      </w:r>
    </w:p>
    <w:p>
      <w:pPr>
        <w:pStyle w:val="Body A"/>
        <w:jc w:val="center"/>
      </w:pPr>
      <w:r>
        <w:rPr>
          <w:b w:val="1"/>
          <w:bCs w:val="1"/>
          <w:sz w:val="28"/>
          <w:szCs w:val="28"/>
        </w:rPr>
      </w:r>
      <w:bookmarkEnd w:id="0"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